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Times New Roman" w:ascii="Times New Roman" w:hAnsi="Times New Roman"/>
          <w:bCs/>
          <w:szCs w:val="28"/>
        </w:rPr>
        <w:t>Obrazac 18.</w:t>
      </w:r>
    </w:p>
    <w:p>
      <w:pPr>
        <w:pStyle w:val="Normal"/>
        <w:spacing w:lineRule="auto" w:line="240" w:before="0" w:after="23"/>
        <w:jc w:val="both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Nadležni trgovački sud TRGOVAČKI SUD U ZAGREBU, Stalna služba u Karlovcu</w:t>
      </w:r>
    </w:p>
    <w:p>
      <w:pPr>
        <w:pStyle w:val="Normal"/>
        <w:spacing w:lineRule="auto" w:line="240" w:before="0" w:after="23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  <w:lang w:val="pl-PL"/>
        </w:rPr>
        <w:t xml:space="preserve">Poslovni broj spisa        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St-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1671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/2020</w:t>
      </w:r>
    </w:p>
    <w:p>
      <w:pPr>
        <w:pStyle w:val="Normal"/>
        <w:spacing w:lineRule="auto" w:line="240" w:before="0" w:after="23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pl-PL"/>
        </w:rPr>
        <w:t xml:space="preserve">Dužnik (ime i prezime / tvrtka ili naziv, OIB, adresa / sjedište) </w:t>
      </w:r>
    </w:p>
    <w:p>
      <w:pPr>
        <w:pStyle w:val="Normal"/>
        <w:spacing w:lineRule="auto" w:line="240" w:before="0" w:after="23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Stečajna masa iza 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ZENIT-U.Z.I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 d.o.o. </w:t>
      </w:r>
    </w:p>
    <w:p>
      <w:pPr>
        <w:pStyle w:val="Normal"/>
        <w:spacing w:lineRule="auto" w:line="240" w:before="0" w:after="23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OIB: 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29276048338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, Zagreb, Bukovačka cesta 51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Cs/>
          <w:sz w:val="24"/>
          <w:szCs w:val="24"/>
        </w:rPr>
        <w:t>II. TABLICA RAZLUČNIH PRAVA</w:t>
      </w:r>
    </w:p>
    <w:tbl>
      <w:tblPr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82"/>
        <w:gridCol w:w="711"/>
        <w:gridCol w:w="2031"/>
        <w:gridCol w:w="1515"/>
        <w:gridCol w:w="1591"/>
        <w:gridCol w:w="1711"/>
        <w:gridCol w:w="2086"/>
        <w:gridCol w:w="2159"/>
        <w:gridCol w:w="1982"/>
      </w:tblGrid>
      <w:tr>
        <w:trPr>
          <w:trHeight w:val="1016" w:hRule="atLeast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Red. broj </w:t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R.br. prijave tražb.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 razlučnog vjerovnika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Adresa/sjedište razlučnog vjerovnika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Pravna osnovu tražbine osigurane razlučnim pravom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Dio imovine na koji se odnosi razlučno pravo</w:t>
            </w:r>
          </w:p>
        </w:tc>
      </w:tr>
      <w:tr>
        <w:trPr>
          <w:trHeight w:val="1377" w:hRule="atLeast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/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/>
              <w:t>1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CENTAR BANKA d.d.  u stečaju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0"/>
                <w:szCs w:val="20"/>
                <w:lang w:val="hr-HR" w:eastAsia="en-US" w:bidi="hi-IN"/>
              </w:rPr>
              <w:t>89296739230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Heinzelova 47A, Zagreb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z.k. OGS ZG, zk.odjel Zagreb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z.k. ul. 6270 k.o. Vrapče, podul. 3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(Z-31593/06)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2)zk.ul 4893 k.o. Grad Zagreb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(upis u tijeku Z-30742/15 povezivanje z.k. i KPU) 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Ukupno: 12.004.902,74 kn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to: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9.518.122,70 kn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2.486.780,04 kn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1)Ug.o kratkor. kreditu 569/2006 od 10.04.06 za iznos od 3.052.881,21 kn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Ug.o kratkoroč.kreditu 814/2006 od 04.05.06 za iznos od 6.465.241,49 kn</w:t>
            </w:r>
          </w:p>
          <w:p>
            <w:pPr>
              <w:pStyle w:val="NoSpacing"/>
              <w:spacing w:before="0" w:after="80"/>
              <w:jc w:val="left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  <w:strike w:val="false"/>
                <w:dstrike w:val="false"/>
              </w:rPr>
              <w:t>razl.prav: Sporazum o osiguranju OU-979/06</w:t>
            </w:r>
          </w:p>
          <w:p>
            <w:pPr>
              <w:pStyle w:val="NoSpacing"/>
              <w:spacing w:before="0" w:after="80"/>
              <w:jc w:val="left"/>
              <w:rPr/>
            </w:pPr>
            <w:r>
              <w:rPr>
                <w:rFonts w:ascii="Times New Roman" w:hAnsi="Times New Roman"/>
              </w:rPr>
              <w:t>2) Ug.o dugor. kreditu 236/2004 od 1.3.04</w:t>
            </w:r>
          </w:p>
          <w:p>
            <w:pPr>
              <w:pStyle w:val="NoSpacing"/>
              <w:spacing w:before="0" w:after="80"/>
              <w:jc w:val="left"/>
              <w:rPr/>
            </w:pPr>
            <w:r>
              <w:rPr>
                <w:rFonts w:ascii="Times New Roman" w:hAnsi="Times New Roman"/>
              </w:rPr>
              <w:t>Sporazum o osiguranju OU-474/04, Dodatak I i II, Zapisnik o pljenidb.popisu od 29.3.04, Oglas u NN 129/04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3. suvl. Dio 1796/10000 nekretnine kčbr. 1480/6 Stamb.zgrada Anina 16 et.vlasništvo (E-3) stan u prizemlju površ. 66,48 m3 oznake S3, sa park.mjestom P 3 i vrtom V3</w:t>
            </w:r>
          </w:p>
          <w:p>
            <w:pPr>
              <w:pStyle w:val="Normal"/>
              <w:spacing w:before="171" w:after="17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odg.suvl.dio nekr. kčbr. 5793 ko Grad Zagreb (6650/1 k.o. Trešnjevka) – trosob.stan br. 48, 1.kat- 87,84 m2 i spremište 4,26 m2</w:t>
            </w:r>
          </w:p>
        </w:tc>
      </w:tr>
      <w:tr>
        <w:trPr>
          <w:trHeight w:val="1377" w:hRule="atLeast"/>
        </w:trPr>
        <w:tc>
          <w:tcPr>
            <w:tcW w:w="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Red. broj </w:t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R.br. prijave tražb.</w:t>
            </w:r>
          </w:p>
        </w:tc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 razlučnog vjerovnika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Adresa/sjedište razlučnog vjerovnika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Pravna osnovu tražbine osigurane razlučnim pravom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Dio imovine na koji se odnosi razlučno pravo</w:t>
            </w:r>
          </w:p>
        </w:tc>
      </w:tr>
      <w:tr>
        <w:trPr>
          <w:trHeight w:val="1377" w:hRule="atLeast"/>
        </w:trPr>
        <w:tc>
          <w:tcPr>
            <w:tcW w:w="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color w:val="C9211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C9211E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Republika Hrvatska, Ministarstvo financija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Porezna uprava, Podr.ured Zagreb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zast.po  ŽDO u Karlovcu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Zagreb, Avenija Dubrovnik 32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Nije navedeno u obavijesti vjerovnika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239.858,88 kn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Rj. o ovrsi Klasa: UP/I-415-02/2010-001/03544 Urbroj: 513-007-01/2011-02 od 25.01.2011. i Zapisnik o izvršenoj pljenidbi  i procjeni pokretne imovine Klasa: UP/I-415-02/2010-001/03544 Urbroj: 513-007-10-01-11-11 od 19.05.2011. 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Kancelarijska oprema i pripadajuća informatička oprema, procj.vrijednost prema Zapisniku o pljendbi 24.150,00 kn</w:t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Napomena:</w:t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Oprema nije specificirana te ju  nije identificirati nije zatečena </w:t>
            </w:r>
          </w:p>
        </w:tc>
      </w:tr>
      <w:tr>
        <w:trPr>
          <w:trHeight w:val="688" w:hRule="atLeast"/>
        </w:trPr>
        <w:tc>
          <w:tcPr>
            <w:tcW w:w="7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3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rFonts w:eastAsia="NSimSun" w:cs="Times New Roman" w:ascii="Times New Roman" w:hAnsi="Times New Roman"/>
                <w:color w:val="000000" w:themeColor="text1"/>
                <w:kern w:val="2"/>
                <w:sz w:val="22"/>
                <w:szCs w:val="22"/>
                <w:lang w:val="hr-HR" w:eastAsia="en-US" w:bidi="hi-IN"/>
              </w:rPr>
              <w:t>Đurđica Cencelj</w:t>
            </w:r>
          </w:p>
        </w:tc>
        <w:tc>
          <w:tcPr>
            <w:tcW w:w="15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35225194061</w:t>
            </w:r>
          </w:p>
        </w:tc>
        <w:tc>
          <w:tcPr>
            <w:tcW w:w="15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Trpanjska 4, Zagreb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Obavijest vjerovnika: nije navedeno (priloženi su zk.izvatci zkul. 14085 k.o. Vrapče (podul. 5,6,7,8) i rješenje OGS ZG broj  Z-53297/14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Obavijest vjerovnika: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402.000,00 kn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Obavijest vjerovnika: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Rješenje OS NZ spis posl.br. P-3219/15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Obavijest vjerovnika: nije navedeno – rješenje ODO u N.Z broj P-3219/15 (priloženi su zk.izvatci zkul. 14085 k.o. Vrapče (podul. 5,6,7,8) i rješenje OGS ZG broj  Z-53297/14</w:t>
            </w:r>
          </w:p>
        </w:tc>
      </w:tr>
      <w:tr>
        <w:trPr>
          <w:trHeight w:val="1258" w:hRule="atLeast"/>
        </w:trPr>
        <w:tc>
          <w:tcPr>
            <w:tcW w:w="7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03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51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59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9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Napomena:</w:t>
            </w:r>
          </w:p>
          <w:p>
            <w:pPr>
              <w:pStyle w:val="NoSpacing"/>
              <w:spacing w:before="0" w:after="8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Stečajna upraviteljica smatra da vjerovnik nema razlučno pravo niti pravnu osnovu tražbine koja bi bila osigurana razlučnim pravom na imovini stečajnog dužnika, nego ima zabilježenu zabranu otuđenja i optrećenja (Z-53297/14 i Z-55160/14) kojima se nije stekao razlučno pravo. </w:t>
            </w:r>
          </w:p>
        </w:tc>
      </w:tr>
      <w:tr>
        <w:trPr>
          <w:trHeight w:val="960" w:hRule="atLeast"/>
        </w:trPr>
        <w:tc>
          <w:tcPr>
            <w:tcW w:w="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Red. broj </w:t>
            </w:r>
          </w:p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R.br. prijave tražb.</w:t>
            </w:r>
          </w:p>
        </w:tc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OIB razlučnog vjerovnika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Adresa/sjedište razlučnog vjerovnika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Pravna osnovu tražbine osigurane razlučnim pravom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Dio imovine na koji se odnosi razlučno pravo</w:t>
            </w:r>
          </w:p>
        </w:tc>
      </w:tr>
      <w:tr>
        <w:trPr>
          <w:trHeight w:val="1377" w:hRule="atLeast"/>
        </w:trPr>
        <w:tc>
          <w:tcPr>
            <w:tcW w:w="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(5)</w:t>
            </w:r>
          </w:p>
        </w:tc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Vjerovnik Suvlasnici stambene zgrade I Anina 16, Zagreb Bronić Mile i dr., nije podnio prijavu tražbine niti obavijestio o razlučnom pravo, ali je isto upisano u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javnoj knjizi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Prijavu tražbinu je u svoje ime podnio  STAMBENI ZG d.o.o. ne navodeći razlučno pravo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z.k. ul. 6270 k.o. Vrapče, podul. 3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(Z-53013/14)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4.329,03 kn uvećano za  zak.zat.kamate i troškove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zabilježba ovrhe broj Z-53013/14 po rj. o ovrsi Ovrj-4224/14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Opć.građ.suda u Zagrebu od 24.11.2014.</w:t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Napomena: prekid postupka rješenje 06.06.2014, pravomoćno 24.06.2016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U e-predmet vidljiv podnesak- dluka O.Z.O od dana 04.12.2020. koja još nije dostavljena stečajnoj upraviteljici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suvl. dio 1796/10000 nekretnine kčbr. 1480/6 Stamb.zgrada Anina 16 et.vlasništvo (E-3) stan u prizemlju površ. 66,48 m3 oznake S3, sa park.mjestom P 3 i vrtom V3</w:t>
            </w:r>
          </w:p>
        </w:tc>
      </w:tr>
    </w:tbl>
    <w:p>
      <w:pPr>
        <w:pStyle w:val="Normal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Mjesto i datum </w:t>
        <w:tab/>
        <w:tab/>
        <w:tab/>
        <w:tab/>
        <w:tab/>
        <w:tab/>
        <w:t xml:space="preserve">                   </w:t>
        <w:tab/>
        <w:t xml:space="preserve">                                                                         Stečajni upravitelj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>Zagreb, 27.02.202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>1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ab/>
        <w:tab/>
        <w:tab/>
        <w:tab/>
        <w:tab/>
        <w:t xml:space="preserve">                                                                                                              Martina Grgec</w:t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spacing w:before="0" w:after="80"/>
        <w:jc w:val="center"/>
        <w:rPr/>
      </w:pPr>
      <w:r>
        <w:rPr/>
      </w:r>
    </w:p>
    <w:sectPr>
      <w:type w:val="nextPage"/>
      <w:pgSz w:orient="landscape" w:w="16838" w:h="11906"/>
      <w:pgMar w:left="1134" w:right="1134" w:header="0" w:top="1361" w:footer="0" w:bottom="90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9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hr-HR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caption" w:uiPriority="35" w:qFormat="1"/>
    <w:lsdException w:name="footnote reference" w:unhideWhenUsed="0"/>
    <w:lsdException w:name="annotation reference" w:unhideWhenUsed="0"/>
    <w:lsdException w:name="Title" w:uiPriority="1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annotation subject" w:unhideWhenUsed="0"/>
    <w:lsdException w:name="Balloon Text" w:unhideWhenUsed="0"/>
    <w:lsdException w:name="Table Grid" w:uiPriority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234df"/>
    <w:pPr>
      <w:widowControl/>
      <w:overflowPunct w:val="false"/>
      <w:bidi w:val="0"/>
      <w:spacing w:before="0" w:after="80"/>
      <w:jc w:val="left"/>
    </w:pPr>
    <w:rPr>
      <w:rFonts w:ascii="Liberation Serif" w:hAnsi="Liberation Serif" w:eastAsia="NSimSun" w:cs="Calibri"/>
      <w:color w:val="auto"/>
      <w:kern w:val="2"/>
      <w:sz w:val="22"/>
      <w:szCs w:val="22"/>
      <w:lang w:val="hr-HR" w:eastAsia="en-US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link w:val="FootnoteText"/>
    <w:uiPriority w:val="99"/>
    <w:qFormat/>
    <w:rPr>
      <w:rFonts w:ascii="Calibri" w:hAnsi="Calibri" w:eastAsia="Times New Roman" w:cs="Calibri"/>
      <w:sz w:val="20"/>
      <w:szCs w:val="20"/>
      <w:lang w:eastAsia="en-US"/>
    </w:rPr>
  </w:style>
  <w:style w:type="character" w:styleId="FootnoteCharacters">
    <w:name w:val="Footnote Characters"/>
    <w:uiPriority w:val="99"/>
    <w:qFormat/>
    <w:rPr>
      <w:vertAlign w:val="superscript"/>
    </w:rPr>
  </w:style>
  <w:style w:type="character" w:styleId="FootnoteAnchor">
    <w:name w:val="Footnote Anchor"/>
    <w:qFormat/>
    <w:rPr>
      <w:vertAlign w:val="superscript"/>
    </w:rPr>
  </w:style>
  <w:style w:type="character" w:styleId="Annotationreference">
    <w:name w:val="annotation reference"/>
    <w:uiPriority w:val="99"/>
    <w:qFormat/>
    <w:rPr>
      <w:rFonts w:ascii="Times New Roman" w:hAnsi="Times New Roman" w:cs="Times New Roman"/>
      <w:sz w:val="18"/>
      <w:szCs w:val="18"/>
    </w:rPr>
  </w:style>
  <w:style w:type="character" w:styleId="CommentTextChar" w:customStyle="1">
    <w:name w:val="Comment Text Char"/>
    <w:link w:val="CommentText"/>
    <w:uiPriority w:val="99"/>
    <w:qFormat/>
    <w:rPr>
      <w:rFonts w:ascii="Calibri" w:hAnsi="Calibri" w:eastAsia="Times New Roman" w:cs="Calibri"/>
      <w:sz w:val="24"/>
      <w:szCs w:val="24"/>
      <w:lang w:eastAsia="en-US"/>
    </w:rPr>
  </w:style>
  <w:style w:type="character" w:styleId="CommentSubjectChar" w:customStyle="1">
    <w:name w:val="Comment Subject Char"/>
    <w:link w:val="CommentSubject"/>
    <w:uiPriority w:val="99"/>
    <w:qFormat/>
    <w:rPr>
      <w:rFonts w:ascii="Calibri" w:hAnsi="Calibri" w:eastAsia="Times New Roman" w:cs="Calibri"/>
      <w:b/>
      <w:bCs/>
      <w:sz w:val="20"/>
      <w:szCs w:val="20"/>
      <w:lang w:eastAsia="en-US"/>
    </w:rPr>
  </w:style>
  <w:style w:type="character" w:styleId="BalloonTextChar" w:customStyle="1">
    <w:name w:val="Balloon Text Char"/>
    <w:link w:val="BalloonText"/>
    <w:uiPriority w:val="99"/>
    <w:qFormat/>
    <w:rPr>
      <w:rFonts w:ascii="Lucida Grande" w:hAnsi="Lucida Grande" w:eastAsia="Times New Roman" w:cs="Lucida Grande"/>
      <w:sz w:val="18"/>
      <w:szCs w:val="18"/>
      <w:lang w:eastAsia="en-US"/>
    </w:rPr>
  </w:style>
  <w:style w:type="paragraph" w:styleId="Stilnaslova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Lucida Sans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99"/>
    <w:qFormat/>
    <w:pPr>
      <w:widowControl/>
      <w:overflowPunct w:val="false"/>
      <w:bidi w:val="0"/>
      <w:spacing w:before="0" w:after="80"/>
      <w:jc w:val="left"/>
    </w:pPr>
    <w:rPr>
      <w:rFonts w:ascii="Liberation Serif" w:hAnsi="Liberation Serif" w:eastAsia="NSimSun" w:cs="Calibri"/>
      <w:color w:val="auto"/>
      <w:kern w:val="2"/>
      <w:sz w:val="22"/>
      <w:szCs w:val="22"/>
      <w:lang w:val="hr-HR" w:eastAsia="en-US" w:bidi="hi-IN"/>
    </w:rPr>
  </w:style>
  <w:style w:type="paragraph" w:styleId="Fusnota">
    <w:name w:val="Footnote Text"/>
    <w:basedOn w:val="Normal"/>
    <w:link w:val="FootnoteTextChar"/>
    <w:uiPriority w:val="99"/>
    <w:pPr/>
    <w:rPr>
      <w:sz w:val="20"/>
      <w:szCs w:val="20"/>
    </w:rPr>
  </w:style>
  <w:style w:type="paragraph" w:styleId="Annotationtext">
    <w:name w:val="annotation text"/>
    <w:basedOn w:val="Normal"/>
    <w:link w:val="CommentTextChar"/>
    <w:uiPriority w:val="99"/>
    <w:qFormat/>
    <w:pPr/>
    <w:rPr>
      <w:sz w:val="24"/>
      <w:szCs w:val="24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qFormat/>
    <w:pPr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qFormat/>
    <w:pPr>
      <w:spacing w:before="0" w:after="0"/>
    </w:pPr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54797"/>
    <w:pPr>
      <w:spacing w:before="0" w:after="80"/>
      <w:ind w:left="720" w:hanging="0"/>
      <w:contextualSpacing/>
    </w:pPr>
    <w:rPr/>
  </w:style>
  <w:style w:type="paragraph" w:styleId="Sadrajitablice">
    <w:name w:val="Sadržaji tablice"/>
    <w:basedOn w:val="Normal"/>
    <w:qFormat/>
    <w:pPr>
      <w:suppressLineNumbers/>
    </w:pPr>
    <w:rPr/>
  </w:style>
  <w:style w:type="paragraph" w:styleId="Naslovtablice">
    <w:name w:val="Naslov tablice"/>
    <w:basedOn w:val="Sadrajitablice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74cea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06A6E-A8F5-4D1B-9BAB-A81FE32D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Application>LibreOffice/6.3.5.2$Windows_X86_64 LibreOffice_project/dd0751754f11728f69b42ee2af66670068624673</Application>
  <Pages>3</Pages>
  <Words>640</Words>
  <Characters>3807</Characters>
  <CharactersWithSpaces>4597</CharactersWithSpaces>
  <Paragraphs>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2018-11-20T15:43:00Z</dcterms:created>
  <dc:creator/>
  <dc:description/>
  <dc:language>hr-HR</dc:language>
  <cp:lastModifiedBy/>
  <cp:lastPrinted>2018-06-26T19:22:00Z</cp:lastPrinted>
  <dcterms:modified xsi:type="dcterms:W3CDTF">2021-03-01T19:32:35Z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